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B39133" w14:textId="4343033B" w:rsidR="00CA65E4" w:rsidRDefault="005E495E" w:rsidP="001D5F6F">
      <w:pPr>
        <w:spacing w:after="120" w:line="360" w:lineRule="auto"/>
        <w:ind w:left="567" w:right="1695"/>
        <w:rPr>
          <w:rFonts w:ascii="Arial" w:hAnsi="Arial" w:cs="Arial"/>
          <w:b/>
          <w:bCs/>
          <w:sz w:val="28"/>
          <w:szCs w:val="28"/>
        </w:rPr>
      </w:pPr>
      <w:r>
        <w:rPr>
          <w:rFonts w:ascii="Arial" w:hAnsi="Arial"/>
          <w:b/>
          <w:sz w:val="28"/>
        </w:rPr>
        <w:t xml:space="preserve">AMAZONE </w:t>
      </w:r>
      <w:proofErr w:type="spellStart"/>
      <w:r>
        <w:rPr>
          <w:rFonts w:ascii="Arial" w:hAnsi="Arial"/>
          <w:b/>
          <w:sz w:val="28"/>
        </w:rPr>
        <w:t>EasyMatch</w:t>
      </w:r>
      <w:proofErr w:type="spellEnd"/>
      <w:r>
        <w:rPr>
          <w:rFonts w:ascii="Arial" w:hAnsi="Arial"/>
          <w:b/>
          <w:sz w:val="28"/>
        </w:rPr>
        <w:t xml:space="preserve"> arrive en janvier dans l'application </w:t>
      </w:r>
      <w:proofErr w:type="spellStart"/>
      <w:r>
        <w:rPr>
          <w:rFonts w:ascii="Arial" w:hAnsi="Arial"/>
          <w:b/>
          <w:sz w:val="28"/>
        </w:rPr>
        <w:t>mySpreader</w:t>
      </w:r>
      <w:proofErr w:type="spellEnd"/>
      <w:r>
        <w:rPr>
          <w:rFonts w:ascii="Arial" w:hAnsi="Arial"/>
          <w:b/>
          <w:sz w:val="28"/>
        </w:rPr>
        <w:t xml:space="preserve"> </w:t>
      </w:r>
    </w:p>
    <w:p w14:paraId="586870FF" w14:textId="00C19836" w:rsidR="00CA65E4" w:rsidRDefault="00111FB5" w:rsidP="00CA65E4">
      <w:pPr>
        <w:spacing w:after="120" w:line="360" w:lineRule="auto"/>
        <w:ind w:left="567" w:right="1695"/>
        <w:rPr>
          <w:rFonts w:ascii="Arial" w:hAnsi="Arial" w:cs="Arial"/>
          <w:sz w:val="28"/>
          <w:szCs w:val="28"/>
        </w:rPr>
      </w:pPr>
      <w:r>
        <w:rPr>
          <w:rFonts w:ascii="Arial" w:hAnsi="Arial"/>
          <w:sz w:val="28"/>
        </w:rPr>
        <w:t xml:space="preserve">Une mise à jour permet l'identification intelligente de l'engrais sur photo </w:t>
      </w:r>
    </w:p>
    <w:p w14:paraId="2146F59B" w14:textId="77777777" w:rsidR="00111FB5" w:rsidRPr="00CA65E4" w:rsidRDefault="00111FB5" w:rsidP="00CA65E4">
      <w:pPr>
        <w:spacing w:after="120" w:line="360" w:lineRule="auto"/>
        <w:ind w:left="567" w:right="1695"/>
        <w:rPr>
          <w:rFonts w:ascii="Arial" w:eastAsia="Arial" w:hAnsi="Arial" w:cs="Arial"/>
        </w:rPr>
      </w:pPr>
    </w:p>
    <w:p w14:paraId="3715B2E3" w14:textId="4C4DA213" w:rsidR="00CA65E4" w:rsidRPr="00CA65E4" w:rsidRDefault="00CA65E4" w:rsidP="00CA65E4">
      <w:pPr>
        <w:spacing w:after="120" w:line="360" w:lineRule="auto"/>
        <w:ind w:left="567" w:right="1695"/>
        <w:rPr>
          <w:rFonts w:ascii="Arial" w:eastAsia="Arial" w:hAnsi="Arial" w:cs="Arial"/>
          <w:b/>
          <w:bCs/>
        </w:rPr>
      </w:pPr>
      <w:r>
        <w:rPr>
          <w:rFonts w:ascii="Arial" w:hAnsi="Arial"/>
        </w:rPr>
        <w:t xml:space="preserve">Le système d’identification </w:t>
      </w:r>
      <w:proofErr w:type="spellStart"/>
      <w:r>
        <w:rPr>
          <w:rFonts w:ascii="Arial" w:hAnsi="Arial"/>
        </w:rPr>
        <w:t>EasyMatch</w:t>
      </w:r>
      <w:proofErr w:type="spellEnd"/>
      <w:r>
        <w:rPr>
          <w:rFonts w:ascii="Arial" w:hAnsi="Arial"/>
        </w:rPr>
        <w:t xml:space="preserve"> AMAZONE, basé sur l'IA, détermine l’engrais correspondant simplement avec une photo. Le logiciel a été présenté pour la première fois à l'occasion du salon Agritechnica 2025 et a remporté une médaille d'argent DLG. Grâce à l’intelligence artificielle et à un gabarit de référence pratique, une empreinte digitale de l’engrais est créée. Le système compare cette empreinte avec la base de données des engrais et retrouve les engrais adaptés en un clic. Un réglage de base rapide et précis avec l’engrais approprié en résulte – même pour des noms de produits inconnus. C’est une économie de temps, une précision renforcée et une amélioration de l’efficacité de l’engrais.</w:t>
      </w:r>
    </w:p>
    <w:p w14:paraId="567C8A67" w14:textId="60032590" w:rsidR="00CA65E4" w:rsidRDefault="00CA65E4" w:rsidP="00CA65E4">
      <w:pPr>
        <w:spacing w:after="120" w:line="360" w:lineRule="auto"/>
        <w:ind w:left="567" w:right="1695"/>
        <w:rPr>
          <w:rFonts w:ascii="Arial" w:eastAsia="Arial" w:hAnsi="Arial" w:cs="Arial"/>
        </w:rPr>
      </w:pPr>
      <w:proofErr w:type="spellStart"/>
      <w:r>
        <w:rPr>
          <w:rFonts w:ascii="Arial" w:hAnsi="Arial"/>
        </w:rPr>
        <w:t>EasyMatch</w:t>
      </w:r>
      <w:proofErr w:type="spellEnd"/>
      <w:r>
        <w:rPr>
          <w:rFonts w:ascii="Arial" w:hAnsi="Arial"/>
        </w:rPr>
        <w:t xml:space="preserve"> sera disponible dès le 1er janvier 2026 avec une mise à jour gratuite dans l'application </w:t>
      </w:r>
      <w:proofErr w:type="spellStart"/>
      <w:r>
        <w:rPr>
          <w:rFonts w:ascii="Arial" w:hAnsi="Arial"/>
        </w:rPr>
        <w:t>mySpreader</w:t>
      </w:r>
      <w:proofErr w:type="spellEnd"/>
      <w:r>
        <w:rPr>
          <w:rFonts w:ascii="Arial" w:hAnsi="Arial"/>
        </w:rPr>
        <w:t xml:space="preserve">. Le gabarit de référence correspondant peut être obtenu auprès des concessionnaires AMAZONE. Cette fonctionnalité élargit les fonctionnalités de l'application </w:t>
      </w:r>
      <w:proofErr w:type="spellStart"/>
      <w:r>
        <w:rPr>
          <w:rFonts w:ascii="Arial" w:hAnsi="Arial"/>
        </w:rPr>
        <w:t>mySpreader</w:t>
      </w:r>
      <w:proofErr w:type="spellEnd"/>
      <w:r>
        <w:rPr>
          <w:rFonts w:ascii="Arial" w:hAnsi="Arial"/>
        </w:rPr>
        <w:t xml:space="preserve"> et est compatible avec tous les épandeurs d'engrais AMAZONE de la gamme actuelle. En combinaison avec la fonction </w:t>
      </w:r>
      <w:proofErr w:type="spellStart"/>
      <w:r>
        <w:rPr>
          <w:rFonts w:ascii="Arial" w:hAnsi="Arial"/>
        </w:rPr>
        <w:t>EasyMix</w:t>
      </w:r>
      <w:proofErr w:type="spellEnd"/>
      <w:r>
        <w:rPr>
          <w:rFonts w:ascii="Arial" w:hAnsi="Arial"/>
        </w:rPr>
        <w:t xml:space="preserve"> éprouvée pour le réglage et l'évaluation des mélanges d'engrais et le banc d'essai numérique </w:t>
      </w:r>
      <w:proofErr w:type="spellStart"/>
      <w:r>
        <w:rPr>
          <w:rFonts w:ascii="Arial" w:hAnsi="Arial"/>
        </w:rPr>
        <w:t>EasyCheck</w:t>
      </w:r>
      <w:proofErr w:type="spellEnd"/>
      <w:r>
        <w:rPr>
          <w:rFonts w:ascii="Arial" w:hAnsi="Arial"/>
        </w:rPr>
        <w:t xml:space="preserve">, l'application </w:t>
      </w:r>
      <w:proofErr w:type="spellStart"/>
      <w:r>
        <w:rPr>
          <w:rFonts w:ascii="Arial" w:hAnsi="Arial"/>
        </w:rPr>
        <w:t>mySpreader</w:t>
      </w:r>
      <w:proofErr w:type="spellEnd"/>
      <w:r>
        <w:rPr>
          <w:rFonts w:ascii="Arial" w:hAnsi="Arial"/>
        </w:rPr>
        <w:t xml:space="preserve"> constitue ainsi l'outil central permettant de régler de manière rapide et précise chaque épandeur d'engrais AMAZONE grâce à l'IA et à des décennies d'expertise.</w:t>
      </w:r>
    </w:p>
    <w:p w14:paraId="112E9DCA" w14:textId="77777777" w:rsidR="00CA65E4" w:rsidRPr="00CA65E4" w:rsidRDefault="00CA65E4" w:rsidP="00CA65E4">
      <w:pPr>
        <w:spacing w:after="120" w:line="360" w:lineRule="auto"/>
        <w:ind w:left="567" w:right="1695"/>
        <w:rPr>
          <w:rFonts w:ascii="Arial" w:eastAsia="Arial" w:hAnsi="Arial" w:cs="Arial"/>
        </w:rPr>
      </w:pPr>
    </w:p>
    <w:p w14:paraId="446816C3" w14:textId="77777777" w:rsidR="00CA65E4" w:rsidRDefault="00CA65E4" w:rsidP="00CA65E4">
      <w:pPr>
        <w:spacing w:after="120" w:line="360" w:lineRule="auto"/>
        <w:ind w:left="567" w:right="1695"/>
        <w:rPr>
          <w:rFonts w:ascii="Arial" w:eastAsia="Arial" w:hAnsi="Arial" w:cs="Arial"/>
        </w:rPr>
      </w:pPr>
      <w:r>
        <w:rPr>
          <w:rFonts w:ascii="Arial" w:hAnsi="Arial"/>
          <w:noProof/>
        </w:rPr>
        <w:lastRenderedPageBreak/>
        <w:drawing>
          <wp:anchor distT="0" distB="0" distL="114300" distR="114300" simplePos="0" relativeHeight="251659264" behindDoc="0" locked="0" layoutInCell="1" allowOverlap="1" wp14:anchorId="683E2282" wp14:editId="48F98CF9">
            <wp:simplePos x="0" y="0"/>
            <wp:positionH relativeFrom="column">
              <wp:posOffset>90805</wp:posOffset>
            </wp:positionH>
            <wp:positionV relativeFrom="paragraph">
              <wp:posOffset>219075</wp:posOffset>
            </wp:positionV>
            <wp:extent cx="2124075" cy="1520206"/>
            <wp:effectExtent l="0" t="0" r="0" b="3810"/>
            <wp:wrapNone/>
            <wp:docPr id="36306635" name="Grafik 2" descr="Ein Bild, das Kuns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06635" name="Grafik 2" descr="Ein Bild, das Kunst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t="43770" b="8490"/>
                    <a:stretch>
                      <a:fillRect/>
                    </a:stretch>
                  </pic:blipFill>
                  <pic:spPr bwMode="auto">
                    <a:xfrm>
                      <a:off x="0" y="0"/>
                      <a:ext cx="2124075" cy="1520206"/>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b/>
          <w:noProof/>
        </w:rPr>
        <w:drawing>
          <wp:inline distT="0" distB="0" distL="0" distR="0" wp14:anchorId="5E288D78" wp14:editId="28A218BB">
            <wp:extent cx="4394201" cy="3295650"/>
            <wp:effectExtent l="0" t="0" r="6350" b="0"/>
            <wp:docPr id="1390111263" name="Grafik 1" descr="Ein Bild, das Handy, Person, Gerät, Im Hau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111263" name="Grafik 1" descr="Ein Bild, das Handy, Person, Gerät, Im Haus enthält.&#10;&#10;KI-generierte Inhalte können fehlerhaft s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99418" cy="3299563"/>
                    </a:xfrm>
                    <a:prstGeom prst="rect">
                      <a:avLst/>
                    </a:prstGeom>
                    <a:noFill/>
                    <a:ln>
                      <a:noFill/>
                    </a:ln>
                  </pic:spPr>
                </pic:pic>
              </a:graphicData>
            </a:graphic>
          </wp:inline>
        </w:drawing>
      </w:r>
    </w:p>
    <w:p w14:paraId="2271F208" w14:textId="77777777" w:rsidR="00B30424" w:rsidRPr="00CA65E4" w:rsidRDefault="00B30424" w:rsidP="00876198">
      <w:pPr>
        <w:numPr>
          <w:ilvl w:val="0"/>
          <w:numId w:val="8"/>
        </w:numPr>
        <w:spacing w:after="120" w:line="360" w:lineRule="auto"/>
        <w:ind w:right="1695"/>
        <w:rPr>
          <w:rFonts w:ascii="Arial" w:eastAsia="Arial" w:hAnsi="Arial" w:cs="Arial"/>
        </w:rPr>
      </w:pPr>
      <w:proofErr w:type="spellStart"/>
      <w:r>
        <w:rPr>
          <w:rFonts w:ascii="Arial" w:hAnsi="Arial"/>
        </w:rPr>
        <w:t>EasyMatch</w:t>
      </w:r>
      <w:proofErr w:type="spellEnd"/>
      <w:r>
        <w:rPr>
          <w:rFonts w:ascii="Arial" w:hAnsi="Arial"/>
        </w:rPr>
        <w:t xml:space="preserve"> identifie simplement les engrais avec une photo</w:t>
      </w:r>
    </w:p>
    <w:p w14:paraId="085ED182"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Recommandations précises de réglage, même pour un nom d'engrais inconnu</w:t>
      </w:r>
    </w:p>
    <w:p w14:paraId="38982F56" w14:textId="77777777" w:rsidR="00B30424" w:rsidRPr="00CA65E4" w:rsidRDefault="00B30424" w:rsidP="00876198">
      <w:pPr>
        <w:numPr>
          <w:ilvl w:val="0"/>
          <w:numId w:val="8"/>
        </w:numPr>
        <w:spacing w:after="120" w:line="360" w:lineRule="auto"/>
        <w:ind w:right="1695"/>
        <w:rPr>
          <w:rFonts w:ascii="Arial" w:eastAsia="Arial" w:hAnsi="Arial" w:cs="Arial"/>
        </w:rPr>
      </w:pPr>
      <w:r>
        <w:rPr>
          <w:rFonts w:ascii="Arial" w:hAnsi="Arial"/>
        </w:rPr>
        <w:t xml:space="preserve">Réglage rapide et fiable de tous les épandeurs d'engrais AMAZONE </w:t>
      </w:r>
    </w:p>
    <w:p w14:paraId="164D86B3" w14:textId="77777777" w:rsidR="00B30424" w:rsidRPr="00CA65E4" w:rsidRDefault="00B30424" w:rsidP="00CA65E4">
      <w:pPr>
        <w:spacing w:after="120" w:line="360" w:lineRule="auto"/>
        <w:ind w:left="567" w:right="1695"/>
        <w:rPr>
          <w:rFonts w:ascii="Arial" w:eastAsia="Arial" w:hAnsi="Arial" w:cs="Arial"/>
        </w:rPr>
      </w:pPr>
    </w:p>
    <w:p w14:paraId="0F81F05F" w14:textId="70D5045F" w:rsidR="007639FE" w:rsidRDefault="007639FE" w:rsidP="004A4E71">
      <w:pPr>
        <w:spacing w:after="120" w:line="360" w:lineRule="auto"/>
        <w:ind w:left="567" w:right="1695"/>
        <w:rPr>
          <w:rFonts w:ascii="Arial" w:hAnsi="Arial" w:cs="Arial"/>
          <w:bCs/>
        </w:rPr>
      </w:pPr>
    </w:p>
    <w:p w14:paraId="06EF1BDF" w14:textId="77777777" w:rsidR="007639FE" w:rsidRDefault="007639FE" w:rsidP="007639FE">
      <w:pPr>
        <w:spacing w:after="120" w:line="360" w:lineRule="auto"/>
        <w:ind w:left="567" w:right="1695"/>
        <w:rPr>
          <w:rFonts w:ascii="Arial" w:hAnsi="Arial" w:cs="Arial"/>
          <w:bCs/>
        </w:rPr>
      </w:pPr>
    </w:p>
    <w:p w14:paraId="1E0CE5B3" w14:textId="77777777" w:rsidR="007639FE" w:rsidRDefault="007639FE" w:rsidP="007639FE">
      <w:pPr>
        <w:spacing w:after="120" w:line="360" w:lineRule="auto"/>
        <w:ind w:left="567" w:right="1695"/>
        <w:rPr>
          <w:rFonts w:ascii="Arial" w:hAnsi="Arial" w:cs="Arial"/>
          <w:bCs/>
        </w:rPr>
      </w:pPr>
    </w:p>
    <w:p w14:paraId="6FD4B387" w14:textId="77777777" w:rsidR="004A4E71" w:rsidRDefault="004A4E71">
      <w:pPr>
        <w:rPr>
          <w:rFonts w:ascii="Arial" w:hAnsi="Arial" w:cs="Arial"/>
          <w:bCs/>
        </w:rPr>
      </w:pPr>
      <w:r>
        <w:br w:type="page"/>
      </w:r>
    </w:p>
    <w:p w14:paraId="4DF84864"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48FDF207" w14:textId="77777777" w:rsidR="00A42ED2" w:rsidRDefault="00A42ED2" w:rsidP="00A42ED2">
      <w:pPr>
        <w:spacing w:after="120" w:line="360" w:lineRule="auto"/>
        <w:ind w:left="567" w:right="1695"/>
        <w:rPr>
          <w:rFonts w:ascii="Arial" w:hAnsi="Arial" w:cs="Arial"/>
          <w:bCs/>
        </w:rPr>
      </w:pPr>
    </w:p>
    <w:p w14:paraId="513ADE3E"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À propos de la société AMAZONE</w:t>
      </w:r>
    </w:p>
    <w:p w14:paraId="5A6CD959" w14:textId="77777777"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 agriculture durable ». Plus d’informations : </w:t>
      </w:r>
      <w:hyperlink r:id="rId10" w:history="1">
        <w:r>
          <w:rPr>
            <w:rStyle w:val="Hyperlink"/>
            <w:rFonts w:ascii="Arial" w:hAnsi="Arial"/>
            <w:sz w:val="20"/>
          </w:rPr>
          <w:t>www.amazone.fr</w:t>
        </w:r>
      </w:hyperlink>
    </w:p>
    <w:p w14:paraId="1CDB0998"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A0BD307" wp14:editId="52AB7FF8">
            <wp:extent cx="241300" cy="241300"/>
            <wp:effectExtent l="0" t="0" r="6350" b="6350"/>
            <wp:docPr id="13" name="Grafik 13">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1"/>
                    </pic:cNvPr>
                    <pic:cNvPicPr>
                      <a:picLocks noChangeAspect="1" noChangeArrowheads="1"/>
                    </pic:cNvPicPr>
                  </pic:nvPicPr>
                  <pic:blipFill>
                    <a:blip r:embed="rId12" r:link="rId1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59316D" wp14:editId="30C9DE64">
            <wp:extent cx="241300" cy="241300"/>
            <wp:effectExtent l="0" t="0" r="6350" b="6350"/>
            <wp:docPr id="12" name="Grafik 12">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B657A38" wp14:editId="0F0E92A9">
            <wp:extent cx="241300" cy="241300"/>
            <wp:effectExtent l="0" t="0" r="6350" b="6350"/>
            <wp:docPr id="11" name="Grafik 11">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1D087B" wp14:editId="1DDB1B2C">
            <wp:extent cx="241300" cy="241300"/>
            <wp:effectExtent l="0" t="0" r="6350" b="6350"/>
            <wp:docPr id="10" name="Grafik 10">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9AE1B35" wp14:editId="2756B13F">
            <wp:extent cx="241300" cy="241300"/>
            <wp:effectExtent l="0" t="0" r="6350" b="6350"/>
            <wp:docPr id="7" name="Grafik 7">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C7362D">
      <w:headerReference w:type="default" r:id="rId26"/>
      <w:footerReference w:type="default" r:id="rId27"/>
      <w:pgSz w:w="11901" w:h="16840" w:code="9"/>
      <w:pgMar w:top="1843"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EFF8452" w14:textId="77777777" w:rsidR="00CA65E4" w:rsidRDefault="00CA65E4">
      <w:r>
        <w:separator/>
      </w:r>
    </w:p>
  </w:endnote>
  <w:endnote w:type="continuationSeparator" w:id="0">
    <w:p w14:paraId="1FFF4D0D" w14:textId="77777777" w:rsidR="00CA65E4" w:rsidRDefault="00CA65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8F54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12AE9811" wp14:editId="4F0C90E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2AE9811"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D795F8F"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301FC7C2" wp14:editId="4E3F2F2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0C38D11"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009E31" wp14:editId="57C1B263">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9C86335"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3CE57215" wp14:editId="49565B9B">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ACBB942"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48EE8B4" w14:textId="580F4CC2"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E84C1C">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E5721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1ACBB942"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148EE8B4" w14:textId="580F4CC2"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E84C1C">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7D11EF" w14:textId="77777777" w:rsidR="00CA65E4" w:rsidRDefault="00CA65E4">
      <w:r>
        <w:separator/>
      </w:r>
    </w:p>
  </w:footnote>
  <w:footnote w:type="continuationSeparator" w:id="0">
    <w:p w14:paraId="252BB950" w14:textId="77777777" w:rsidR="00CA65E4" w:rsidRDefault="00CA65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A7B594"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2C31FA2" wp14:editId="62A13B9A">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Pr>
                              <w:rFonts w:ascii="Arial" w:hAnsi="Arial"/>
                              <w:color w:val="FFFFFF" w:themeColor="background1"/>
                              <w:sz w:val="28"/>
                            </w:rPr>
                            <w:t>Décembre</w:t>
                          </w:r>
                          <w:proofErr w:type="gramEnd"/>
                          <w:r>
                            <w:rPr>
                              <w:rFonts w:ascii="Arial" w:hAnsi="Arial"/>
                              <w:color w:val="FFFFFF" w:themeColor="background1"/>
                              <w:sz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2C31FA2"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1052A32" w14:textId="4093F12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 xml:space="preserve">Communiqué de presse </w:t>
                    </w:r>
                    <w:proofErr w:type="gramStart"/>
                    <w:r>
                      <w:rPr>
                        <w:rFonts w:ascii="Arial" w:hAnsi="Arial"/>
                        <w:color w:val="FFFFFF" w:themeColor="background1"/>
                        <w:sz w:val="28"/>
                      </w:rPr>
                      <w:t>Décembre</w:t>
                    </w:r>
                    <w:proofErr w:type="gramEnd"/>
                    <w:r>
                      <w:rPr>
                        <w:rFonts w:ascii="Arial" w:hAnsi="Arial"/>
                        <w:color w:val="FFFFFF" w:themeColor="background1"/>
                        <w:sz w:val="28"/>
                      </w:rPr>
                      <w:t xml:space="preserve"> 2025</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5E787429" wp14:editId="4E0D3457">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4DF909"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6B9DD993" wp14:editId="21B0D2CB">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D855C5B"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79368ED" wp14:editId="0D2D01E6">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9368E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7305156E"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A5B582A"/>
    <w:multiLevelType w:val="hybridMultilevel"/>
    <w:tmpl w:val="9C5CDD00"/>
    <w:lvl w:ilvl="0" w:tplc="0407000B">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tentative="1">
      <w:start w:val="1"/>
      <w:numFmt w:val="bullet"/>
      <w:lvlText w:val=""/>
      <w:lvlJc w:val="left"/>
      <w:pPr>
        <w:tabs>
          <w:tab w:val="num" w:pos="3600"/>
        </w:tabs>
        <w:ind w:left="3600" w:hanging="360"/>
      </w:pPr>
      <w:rPr>
        <w:rFonts w:ascii="Wingdings" w:hAnsi="Wingdings"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Wingdings" w:hAnsi="Wingdings" w:hint="default"/>
      </w:rPr>
    </w:lvl>
    <w:lvl w:ilvl="7" w:tplc="FFFFFFFF" w:tentative="1">
      <w:start w:val="1"/>
      <w:numFmt w:val="bullet"/>
      <w:lvlText w:val=""/>
      <w:lvlJc w:val="left"/>
      <w:pPr>
        <w:tabs>
          <w:tab w:val="num" w:pos="5760"/>
        </w:tabs>
        <w:ind w:left="5760" w:hanging="360"/>
      </w:pPr>
      <w:rPr>
        <w:rFonts w:ascii="Wingdings" w:hAnsi="Wingdings"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B42E23"/>
    <w:multiLevelType w:val="hybridMultilevel"/>
    <w:tmpl w:val="C02CEB42"/>
    <w:lvl w:ilvl="0" w:tplc="D17AEA50">
      <w:start w:val="1"/>
      <w:numFmt w:val="bullet"/>
      <w:lvlText w:val=""/>
      <w:lvlJc w:val="left"/>
      <w:pPr>
        <w:tabs>
          <w:tab w:val="num" w:pos="720"/>
        </w:tabs>
        <w:ind w:left="720" w:hanging="360"/>
      </w:pPr>
      <w:rPr>
        <w:rFonts w:ascii="Wingdings" w:hAnsi="Wingdings" w:hint="default"/>
      </w:rPr>
    </w:lvl>
    <w:lvl w:ilvl="1" w:tplc="81983C54" w:tentative="1">
      <w:start w:val="1"/>
      <w:numFmt w:val="bullet"/>
      <w:lvlText w:val=""/>
      <w:lvlJc w:val="left"/>
      <w:pPr>
        <w:tabs>
          <w:tab w:val="num" w:pos="1440"/>
        </w:tabs>
        <w:ind w:left="1440" w:hanging="360"/>
      </w:pPr>
      <w:rPr>
        <w:rFonts w:ascii="Wingdings" w:hAnsi="Wingdings" w:hint="default"/>
      </w:rPr>
    </w:lvl>
    <w:lvl w:ilvl="2" w:tplc="C84A629E" w:tentative="1">
      <w:start w:val="1"/>
      <w:numFmt w:val="bullet"/>
      <w:lvlText w:val=""/>
      <w:lvlJc w:val="left"/>
      <w:pPr>
        <w:tabs>
          <w:tab w:val="num" w:pos="2160"/>
        </w:tabs>
        <w:ind w:left="2160" w:hanging="360"/>
      </w:pPr>
      <w:rPr>
        <w:rFonts w:ascii="Wingdings" w:hAnsi="Wingdings" w:hint="default"/>
      </w:rPr>
    </w:lvl>
    <w:lvl w:ilvl="3" w:tplc="DD3E54FE" w:tentative="1">
      <w:start w:val="1"/>
      <w:numFmt w:val="bullet"/>
      <w:lvlText w:val=""/>
      <w:lvlJc w:val="left"/>
      <w:pPr>
        <w:tabs>
          <w:tab w:val="num" w:pos="2880"/>
        </w:tabs>
        <w:ind w:left="2880" w:hanging="360"/>
      </w:pPr>
      <w:rPr>
        <w:rFonts w:ascii="Wingdings" w:hAnsi="Wingdings" w:hint="default"/>
      </w:rPr>
    </w:lvl>
    <w:lvl w:ilvl="4" w:tplc="2C947C86" w:tentative="1">
      <w:start w:val="1"/>
      <w:numFmt w:val="bullet"/>
      <w:lvlText w:val=""/>
      <w:lvlJc w:val="left"/>
      <w:pPr>
        <w:tabs>
          <w:tab w:val="num" w:pos="3600"/>
        </w:tabs>
        <w:ind w:left="3600" w:hanging="360"/>
      </w:pPr>
      <w:rPr>
        <w:rFonts w:ascii="Wingdings" w:hAnsi="Wingdings" w:hint="default"/>
      </w:rPr>
    </w:lvl>
    <w:lvl w:ilvl="5" w:tplc="8D0680C2" w:tentative="1">
      <w:start w:val="1"/>
      <w:numFmt w:val="bullet"/>
      <w:lvlText w:val=""/>
      <w:lvlJc w:val="left"/>
      <w:pPr>
        <w:tabs>
          <w:tab w:val="num" w:pos="4320"/>
        </w:tabs>
        <w:ind w:left="4320" w:hanging="360"/>
      </w:pPr>
      <w:rPr>
        <w:rFonts w:ascii="Wingdings" w:hAnsi="Wingdings" w:hint="default"/>
      </w:rPr>
    </w:lvl>
    <w:lvl w:ilvl="6" w:tplc="2C401C56" w:tentative="1">
      <w:start w:val="1"/>
      <w:numFmt w:val="bullet"/>
      <w:lvlText w:val=""/>
      <w:lvlJc w:val="left"/>
      <w:pPr>
        <w:tabs>
          <w:tab w:val="num" w:pos="5040"/>
        </w:tabs>
        <w:ind w:left="5040" w:hanging="360"/>
      </w:pPr>
      <w:rPr>
        <w:rFonts w:ascii="Wingdings" w:hAnsi="Wingdings" w:hint="default"/>
      </w:rPr>
    </w:lvl>
    <w:lvl w:ilvl="7" w:tplc="6B88B836" w:tentative="1">
      <w:start w:val="1"/>
      <w:numFmt w:val="bullet"/>
      <w:lvlText w:val=""/>
      <w:lvlJc w:val="left"/>
      <w:pPr>
        <w:tabs>
          <w:tab w:val="num" w:pos="5760"/>
        </w:tabs>
        <w:ind w:left="5760" w:hanging="360"/>
      </w:pPr>
      <w:rPr>
        <w:rFonts w:ascii="Wingdings" w:hAnsi="Wingdings" w:hint="default"/>
      </w:rPr>
    </w:lvl>
    <w:lvl w:ilvl="8" w:tplc="8348F81A"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7"/>
  </w:num>
  <w:num w:numId="2" w16cid:durableId="174198297">
    <w:abstractNumId w:val="0"/>
  </w:num>
  <w:num w:numId="3" w16cid:durableId="1910768183">
    <w:abstractNumId w:val="3"/>
  </w:num>
  <w:num w:numId="4" w16cid:durableId="695468657">
    <w:abstractNumId w:val="4"/>
  </w:num>
  <w:num w:numId="5" w16cid:durableId="1365207413">
    <w:abstractNumId w:val="1"/>
  </w:num>
  <w:num w:numId="6" w16cid:durableId="1681931139">
    <w:abstractNumId w:val="6"/>
  </w:num>
  <w:num w:numId="7" w16cid:durableId="1342583343">
    <w:abstractNumId w:val="5"/>
  </w:num>
  <w:num w:numId="8" w16cid:durableId="203438306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65E4"/>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1FB5"/>
    <w:rsid w:val="00112EDB"/>
    <w:rsid w:val="0011333E"/>
    <w:rsid w:val="00113932"/>
    <w:rsid w:val="00114367"/>
    <w:rsid w:val="00114719"/>
    <w:rsid w:val="0011495E"/>
    <w:rsid w:val="00114C20"/>
    <w:rsid w:val="00114F26"/>
    <w:rsid w:val="0012269E"/>
    <w:rsid w:val="001238CB"/>
    <w:rsid w:val="00123BBE"/>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0070"/>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AC4"/>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4DC2"/>
    <w:rsid w:val="001E5588"/>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2F7897"/>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4FB5"/>
    <w:rsid w:val="00375B0A"/>
    <w:rsid w:val="0037620D"/>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6BFB"/>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3DFC"/>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20F"/>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05EA2"/>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495E"/>
    <w:rsid w:val="005E62F4"/>
    <w:rsid w:val="005E79F7"/>
    <w:rsid w:val="005F0AE3"/>
    <w:rsid w:val="005F0C40"/>
    <w:rsid w:val="005F12CA"/>
    <w:rsid w:val="005F16D2"/>
    <w:rsid w:val="005F18BD"/>
    <w:rsid w:val="005F7267"/>
    <w:rsid w:val="00601972"/>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176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46E5"/>
    <w:rsid w:val="00776D54"/>
    <w:rsid w:val="0078043A"/>
    <w:rsid w:val="0078505E"/>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6198"/>
    <w:rsid w:val="008773C5"/>
    <w:rsid w:val="0088211C"/>
    <w:rsid w:val="00882549"/>
    <w:rsid w:val="00883D42"/>
    <w:rsid w:val="00883F68"/>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2A55"/>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64AC1"/>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D578D"/>
    <w:rsid w:val="00AD6F64"/>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2750"/>
    <w:rsid w:val="00B232D0"/>
    <w:rsid w:val="00B240AC"/>
    <w:rsid w:val="00B30424"/>
    <w:rsid w:val="00B311B3"/>
    <w:rsid w:val="00B31B44"/>
    <w:rsid w:val="00B3517D"/>
    <w:rsid w:val="00B35FD1"/>
    <w:rsid w:val="00B368C6"/>
    <w:rsid w:val="00B37914"/>
    <w:rsid w:val="00B37970"/>
    <w:rsid w:val="00B41606"/>
    <w:rsid w:val="00B420FB"/>
    <w:rsid w:val="00B4238B"/>
    <w:rsid w:val="00B4251D"/>
    <w:rsid w:val="00B42575"/>
    <w:rsid w:val="00B42696"/>
    <w:rsid w:val="00B431A3"/>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9CB"/>
    <w:rsid w:val="00B94B4C"/>
    <w:rsid w:val="00B97245"/>
    <w:rsid w:val="00BA4B47"/>
    <w:rsid w:val="00BA4D0F"/>
    <w:rsid w:val="00BA7C6D"/>
    <w:rsid w:val="00BB0614"/>
    <w:rsid w:val="00BB098E"/>
    <w:rsid w:val="00BB694A"/>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248A"/>
    <w:rsid w:val="00BE32AD"/>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69D"/>
    <w:rsid w:val="00C1481C"/>
    <w:rsid w:val="00C1720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A65E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5379"/>
    <w:rsid w:val="00DB62AD"/>
    <w:rsid w:val="00DB7084"/>
    <w:rsid w:val="00DB79E1"/>
    <w:rsid w:val="00DB7CD1"/>
    <w:rsid w:val="00DC0D9B"/>
    <w:rsid w:val="00DC1697"/>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C1C"/>
    <w:rsid w:val="00E869C9"/>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4228"/>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40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8890F83"/>
  <w15:docId w15:val="{5FC608AD-C15A-4826-A3FA-6B5413806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883F6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cid:FB_70d43fd1-a841-4de4-bbaa-3e1f495f95d3.jpg" TargetMode="External"/><Relationship Id="rId18" Type="http://schemas.openxmlformats.org/officeDocument/2006/relationships/image" Target="media/image5.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6.jpeg"/><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yperlink" Target="https://www.youtube.com/user/amazonede" TargetMode="External"/><Relationship Id="rId25" Type="http://schemas.openxmlformats.org/officeDocument/2006/relationships/image" Target="cid:Xing1_e3730686-2953-47a9-9c47-dbaa518a9207.jpg" TargetMode="External"/><Relationship Id="rId2" Type="http://schemas.openxmlformats.org/officeDocument/2006/relationships/numbering" Target="numbering.xml"/><Relationship Id="rId16" Type="http://schemas.openxmlformats.org/officeDocument/2006/relationships/image" Target="cid:IG_efb650a7-31e4-4674-98db-f2d2d5c58dce.jpg" TargetMode="External"/><Relationship Id="rId20" Type="http://schemas.openxmlformats.org/officeDocument/2006/relationships/hyperlink" Target="https://www.linkedin.com/company/amazone-france/"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facebook.com/amazone.france" TargetMode="External"/><Relationship Id="rId24"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hyperlink" Target="https://www.xing.com/company/amazone" TargetMode="External"/><Relationship Id="rId28" Type="http://schemas.openxmlformats.org/officeDocument/2006/relationships/fontTable" Target="fontTable.xml"/><Relationship Id="rId10" Type="http://schemas.openxmlformats.org/officeDocument/2006/relationships/hyperlink" Target="https://www.amazone.fr" TargetMode="External"/><Relationship Id="rId19" Type="http://schemas.openxmlformats.org/officeDocument/2006/relationships/image" Target="cid:YT_e9180d16-5a2b-4618-92e9-22a015f9cafb.jpg"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instagram.com/amazone_france" TargetMode="External"/><Relationship Id="rId22" Type="http://schemas.openxmlformats.org/officeDocument/2006/relationships/image" Target="cid:LinkedIn_80de4e9c-c7a3-41e3-8e11-063f7eace13d.jpg" TargetMode="External"/><Relationship Id="rId27"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00%20Vorlagen%20u.%20Workflows\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3</Pages>
  <Words>421</Words>
  <Characters>2414</Characters>
  <Application>Microsoft Office Word</Application>
  <DocSecurity>0</DocSecurity>
  <Lines>49</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Modèle de communiqué de presse</vt:lpstr>
      <vt:lpstr>PI Amazone Jahresbericht 2008</vt:lpstr>
    </vt:vector>
  </TitlesOfParts>
  <Manager/>
  <Company/>
  <LinksUpToDate>false</LinksUpToDate>
  <CharactersWithSpaces>2834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11</cp:revision>
  <cp:lastPrinted>2010-02-24T09:10:00Z</cp:lastPrinted>
  <dcterms:created xsi:type="dcterms:W3CDTF">2025-11-27T08:34:00Z</dcterms:created>
  <dcterms:modified xsi:type="dcterms:W3CDTF">2025-12-22T10:15:00Z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